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Web3×AI革命！Smart Pocket免費發放BGR（Bitgrit）代幣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69bwloox4zh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簡介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Pocket用戶迎來了令人振奮的消息！在Smart Pocket應用程式中將舉行BGR（Bitgrit）代幣的免費空投。這不僅僅是一次普通的代幣派發，而是一個獲得推動Web3×AI未來項目燃料的機會。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hw9vftrpb4md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BGR代幣是什麼？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BGR代幣的主要用途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代幣經濟學與供應量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Pocket完成任務賺取獎勵！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任務完成步驟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空投預期條件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事前準備建議——先獲取$SP代幣！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未來展望與期待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1l8m5ionjeaw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BGR代幣是什麼？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BGR（Bitgrit）代幣是以「民主化AI」為目標的Web3×AI平台「bitgrit」的核心貨幣。該代幣在Avalanche鏈上發行，並在CoinMarketCap上標記為Avalanche生態系統代幣，受到廣泛關注。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q8324mlg2kak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BGR代幣的主要用途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BGR代幣不僅是投機對象，還有多種實際用途，包括：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AI競賽的質押/報名費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競賽獎勵和社區貢獻獎勵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在工作板和AI市場中支付使用費用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未來參與項目治理的投票權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yo743ft6nl8n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代幣經濟學與供應量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BGR代幣的最大供應量設定為100億枚。透過AI競賽獎勵和社區激勵逐步釋放，以防止突然的通貨膨脹，保護持有者的長期價值。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plsvmicn21du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Pocket完成任務賺取獎勵！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在準備領取BGR代幣空投之前，首先透過Smart Pocket應用參加合作任務，完成後可獲得2000積分獎勵。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paan8xatssad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任務完成步驟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關注BGR官方X帳號：</w:t>
        <w:br/>
        <w:t>- 啟動Smart Pocket應用</w:t>
        <w:br/>
        <w:t>- 打開Earn標籤</w:t>
        <w:br/>
        <w:t>- 點擊Collab</w:t>
        <w:br/>
        <w:t>- 點擊BGR的"Start"</w:t>
        <w:br/>
        <w:t>- 關注官方X帳號</w:t>
        <w:br/>
        <w:t>- 返回應用並點擊"Claim"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訪問BGR官方網站：</w:t>
        <w:br/>
        <w:t>- 啟動Smart Pocket應用</w:t>
        <w:br/>
        <w:t>- 打開Earn標籤</w:t>
        <w:br/>
        <w:t>- 點擊Collab</w:t>
        <w:br/>
        <w:t>- 點擊GOLFIN官方網站的"Start"</w:t>
        <w:br/>
        <w:t>- 訪問官方網站</w:t>
        <w:br/>
        <w:t>- 返回應用並點擊"Claim"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pew1vngylpd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空投預期條件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目前官方尚未公布詳細信息，但預計可能包括：</w:t>
        <w:br w:type="textWrapping"/>
        <w:t xml:space="preserve">- 持有$SP代幣的用戶將有較高資格</w:t>
        <w:br w:type="textWrapping"/>
        <w:t xml:space="preserve">- 快照可能在沒有預告的情況下進行</w:t>
        <w:br w:type="textWrapping"/>
        <w:t xml:space="preserve">- 可能需要在Smart Pocket應用內完成領取操作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83xazq568a98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事前準備建議——先獲取$SP代幣！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要領取$SP代幣空投，需要事先在Smart Pocket應用中註冊SOL地址。請參考以下連結了解註冊方法：</w:t>
        <w:br w:type="textWrapping"/>
        <w:t xml:space="preserve">- SOL地址註冊指南</w:t>
        <w:br w:type="textWrapping"/>
        <w:t xml:space="preserve">- Smart Pocket入門指南</w:t>
        <w:br w:type="textWrapping"/>
        <w:t xml:space="preserve">- 有關$SP代幣的詳細信息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jp903sehcf3c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未來展望與期待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AI技術的發展不斷加速，與Web3的融合將更加迅猛。像Bitgrit這樣致力於民主化AI的項目，是面向未來社會實踐的嚴肅努力。透過這次BGR代幣空投，用戶有機會參與這個令人興奮的生態系統。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9qtb8nx6vz0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BGR（Bitgrit）代幣具有塑造Web3×AI未來的潛力。它支持推動AI民主化的平台，具有明確的實際用途，並將通過Smart Pocket應用進行空投。請通過官方渠道隨時獲取最新信息！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