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ویژگی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کیف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قصد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مفصل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0"/>
        </w:rPr>
        <w:t xml:space="preserve"> «</w:t>
      </w:r>
      <w:r w:rsidDel="00000000" w:rsidR="00000000" w:rsidRPr="00000000">
        <w:rPr>
          <w:b w:val="1"/>
          <w:sz w:val="28"/>
          <w:szCs w:val="28"/>
          <w:rtl w:val="0"/>
        </w:rPr>
        <w:t xml:space="preserve">AirDrop</w:t>
      </w:r>
      <w:r w:rsidDel="00000000" w:rsidR="00000000" w:rsidRPr="00000000">
        <w:rPr>
          <w:b w:val="1"/>
          <w:sz w:val="28"/>
          <w:szCs w:val="28"/>
          <w:rtl w:val="0"/>
        </w:rPr>
        <w:t xml:space="preserve">»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توضیح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امتیازات گذشته بلافاصله پس از تکمیل همگام‌سازی با MetaMask اعمال می‌شوند.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0"/>
        </w:rPr>
        <w:t xml:space="preserve"> $</w:t>
      </w:r>
      <w:r w:rsidDel="00000000" w:rsidR="00000000" w:rsidRPr="00000000">
        <w:rPr>
          <w:rtl w:val="0"/>
        </w:rPr>
        <w:t xml:space="preserve">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اکوسیستم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کل عرضه: 100 میلیارد توکن</w:t>
        <w:br/>
        <w:t>- توزیع توکن: جزئیات روش‌های توزیع بعداً اعلام خواهد شد. توزیع ممکن است به عواملی مانند انباشت امتیازات، تعداد دعوت‌ها و مالکیت NFT‌های خاص مانند $SP BOX NFTs بستگی داشته باشد.</w:t>
        <w:br/>
        <w:t>- چشم‌انداز آینده: فرصت‌هایی برای دریافت AirDrops از پروژه‌های جدید از طریق سهام‌گذاری SP، حق کسب توکن از پروژه‌های آینده، و کاربردهای مختلف در اکوسیستم.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حاضر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بمانید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Pokémys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